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712A" w14:textId="50C0D956" w:rsidR="001757C0" w:rsidRDefault="001757C0" w:rsidP="001757C0">
      <w:pPr>
        <w:jc w:val="center"/>
        <w:rPr>
          <w:b/>
          <w:bCs/>
        </w:rPr>
      </w:pPr>
      <w:r w:rsidRPr="001757C0">
        <w:rPr>
          <w:b/>
          <w:bCs/>
          <w:noProof/>
        </w:rPr>
        <w:drawing>
          <wp:inline distT="0" distB="0" distL="0" distR="0" wp14:anchorId="59DA4AEB" wp14:editId="0F107087">
            <wp:extent cx="1274413" cy="1270000"/>
            <wp:effectExtent l="0" t="0" r="0" b="0"/>
            <wp:docPr id="14" name="Content Placeholder 13">
              <a:extLst xmlns:a="http://schemas.openxmlformats.org/drawingml/2006/main">
                <a:ext uri="{FF2B5EF4-FFF2-40B4-BE49-F238E27FC236}">
                  <a16:creationId xmlns:a16="http://schemas.microsoft.com/office/drawing/2014/main" id="{D4ABEDAC-5BC0-46F4-8E02-5196BDE1A39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ontent Placeholder 13">
                      <a:extLst>
                        <a:ext uri="{FF2B5EF4-FFF2-40B4-BE49-F238E27FC236}">
                          <a16:creationId xmlns:a16="http://schemas.microsoft.com/office/drawing/2014/main" id="{D4ABEDAC-5BC0-46F4-8E02-5196BDE1A39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12" cy="129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5E942F" w14:textId="354492EC" w:rsidR="001757C0" w:rsidRPr="002F5EC4" w:rsidRDefault="001757C0" w:rsidP="001757C0">
      <w:pPr>
        <w:jc w:val="center"/>
        <w:rPr>
          <w:rFonts w:ascii="Times New Roman" w:hAnsi="Times New Roman" w:cs="Times New Roman"/>
          <w:b/>
          <w:bCs/>
        </w:rPr>
      </w:pPr>
      <w:r w:rsidRPr="002F5EC4">
        <w:rPr>
          <w:rFonts w:ascii="Times New Roman" w:hAnsi="Times New Roman" w:cs="Times New Roman"/>
          <w:b/>
          <w:bCs/>
        </w:rPr>
        <w:t>June 17, 2020</w:t>
      </w:r>
    </w:p>
    <w:p w14:paraId="4990967C" w14:textId="425DA637" w:rsidR="001757C0" w:rsidRPr="00B46FB1" w:rsidRDefault="001757C0" w:rsidP="001757C0">
      <w:pPr>
        <w:rPr>
          <w:rFonts w:ascii="Times New Roman" w:hAnsi="Times New Roman" w:cs="Times New Roman"/>
          <w:b/>
          <w:bCs/>
        </w:rPr>
      </w:pPr>
      <w:r w:rsidRPr="00B46FB1">
        <w:rPr>
          <w:rFonts w:ascii="Times New Roman" w:hAnsi="Times New Roman" w:cs="Times New Roman"/>
          <w:b/>
          <w:bCs/>
        </w:rPr>
        <w:t xml:space="preserve">Dear </w:t>
      </w:r>
      <w:r w:rsidR="00B600E1" w:rsidRPr="00B46FB1">
        <w:rPr>
          <w:rFonts w:ascii="Times New Roman" w:hAnsi="Times New Roman" w:cs="Times New Roman"/>
          <w:b/>
          <w:bCs/>
        </w:rPr>
        <w:t>Superintendent</w:t>
      </w:r>
      <w:r w:rsidRPr="00B46FB1">
        <w:rPr>
          <w:rFonts w:ascii="Times New Roman" w:hAnsi="Times New Roman" w:cs="Times New Roman"/>
          <w:b/>
          <w:bCs/>
        </w:rPr>
        <w:t xml:space="preserve"> Arntzen, </w:t>
      </w:r>
    </w:p>
    <w:p w14:paraId="4EB0AF4B" w14:textId="77777777" w:rsidR="002F5EC4" w:rsidRPr="00B46FB1" w:rsidRDefault="001757C0" w:rsidP="002F5EC4">
      <w:pPr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 xml:space="preserve">We are writing to notify you that the Flex2020 Task Force </w:t>
      </w:r>
      <w:r w:rsidR="00593CE4" w:rsidRPr="00B46FB1">
        <w:rPr>
          <w:rFonts w:ascii="Times New Roman" w:hAnsi="Times New Roman" w:cs="Times New Roman"/>
        </w:rPr>
        <w:t xml:space="preserve">that you initiated to assist in developing K-12 public schools re-opening guidelines for the 2020-2021 school year </w:t>
      </w:r>
      <w:r w:rsidR="00B11F5B" w:rsidRPr="00B46FB1">
        <w:rPr>
          <w:rFonts w:ascii="Times New Roman" w:hAnsi="Times New Roman" w:cs="Times New Roman"/>
        </w:rPr>
        <w:t>concluded on June 10, 2020</w:t>
      </w:r>
      <w:r w:rsidR="00D744C3" w:rsidRPr="00B46FB1">
        <w:rPr>
          <w:rFonts w:ascii="Times New Roman" w:hAnsi="Times New Roman" w:cs="Times New Roman"/>
        </w:rPr>
        <w:t xml:space="preserve">.  Specifically, the Flex2020 Task Force focused on </w:t>
      </w:r>
      <w:r w:rsidR="00593CE4" w:rsidRPr="00B46FB1">
        <w:rPr>
          <w:rFonts w:ascii="Times New Roman" w:hAnsi="Times New Roman" w:cs="Times New Roman"/>
        </w:rPr>
        <w:t xml:space="preserve">the internal and external flexibilities that schools will need to serve students in this new environment as a result of COVID-19. </w:t>
      </w:r>
    </w:p>
    <w:p w14:paraId="42FED950" w14:textId="76A4EEB8" w:rsidR="00B11F5B" w:rsidRPr="00B46FB1" w:rsidRDefault="00D744C3" w:rsidP="00B11F5B">
      <w:pPr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T</w:t>
      </w:r>
      <w:r w:rsidR="00B11F5B" w:rsidRPr="00B46FB1">
        <w:rPr>
          <w:rFonts w:ascii="Times New Roman" w:hAnsi="Times New Roman" w:cs="Times New Roman"/>
        </w:rPr>
        <w:t>hree</w:t>
      </w:r>
      <w:r w:rsidR="001757C0" w:rsidRPr="00B46FB1">
        <w:rPr>
          <w:rFonts w:ascii="Times New Roman" w:hAnsi="Times New Roman" w:cs="Times New Roman"/>
        </w:rPr>
        <w:t xml:space="preserve"> virtual sessions</w:t>
      </w:r>
      <w:r w:rsidRPr="00B46FB1">
        <w:rPr>
          <w:rFonts w:ascii="Times New Roman" w:hAnsi="Times New Roman" w:cs="Times New Roman"/>
        </w:rPr>
        <w:t xml:space="preserve"> and intersession work</w:t>
      </w:r>
      <w:r w:rsidR="00B11F5B" w:rsidRPr="00B46FB1">
        <w:rPr>
          <w:rFonts w:ascii="Times New Roman" w:hAnsi="Times New Roman" w:cs="Times New Roman"/>
        </w:rPr>
        <w:t xml:space="preserve"> was conducted with 33 representatives that included school district leadership, the Board of Public Education, </w:t>
      </w:r>
      <w:r w:rsidR="00B46FB1" w:rsidRPr="00B46FB1">
        <w:rPr>
          <w:rFonts w:ascii="Times New Roman" w:hAnsi="Times New Roman" w:cs="Times New Roman"/>
        </w:rPr>
        <w:t>Montana School Boards Association, School Administrators of Montana,</w:t>
      </w:r>
      <w:r w:rsidR="00B46FB1">
        <w:rPr>
          <w:rFonts w:ascii="Times New Roman" w:hAnsi="Times New Roman" w:cs="Times New Roman"/>
        </w:rPr>
        <w:t xml:space="preserve"> </w:t>
      </w:r>
      <w:r w:rsidR="00B46FB1" w:rsidRPr="00B46FB1">
        <w:rPr>
          <w:rFonts w:ascii="Times New Roman" w:hAnsi="Times New Roman" w:cs="Times New Roman"/>
        </w:rPr>
        <w:t>Montana Quality Education Coalition</w:t>
      </w:r>
      <w:r w:rsidR="00B11F5B" w:rsidRPr="00B46FB1">
        <w:rPr>
          <w:rFonts w:ascii="Times New Roman" w:hAnsi="Times New Roman" w:cs="Times New Roman"/>
        </w:rPr>
        <w:t xml:space="preserve">, legislators, legislative services, former school board members and </w:t>
      </w:r>
      <w:r w:rsidR="002B47CF" w:rsidRPr="00B46FB1">
        <w:rPr>
          <w:rFonts w:ascii="Times New Roman" w:hAnsi="Times New Roman" w:cs="Times New Roman"/>
        </w:rPr>
        <w:t xml:space="preserve">Office of Public Instruction (OPI) </w:t>
      </w:r>
      <w:r w:rsidR="00B11F5B" w:rsidRPr="00B46FB1">
        <w:rPr>
          <w:rFonts w:ascii="Times New Roman" w:hAnsi="Times New Roman" w:cs="Times New Roman"/>
        </w:rPr>
        <w:t>staff.  The task force members worked within in five subgroups t</w:t>
      </w:r>
      <w:r w:rsidR="00EB317E" w:rsidRPr="00B46FB1">
        <w:rPr>
          <w:rFonts w:ascii="Times New Roman" w:hAnsi="Times New Roman" w:cs="Times New Roman"/>
        </w:rPr>
        <w:t>o prioritize and build consensus on recommendations</w:t>
      </w:r>
      <w:r w:rsidR="00B600E1" w:rsidRPr="00B46FB1">
        <w:rPr>
          <w:rFonts w:ascii="Times New Roman" w:hAnsi="Times New Roman" w:cs="Times New Roman"/>
        </w:rPr>
        <w:t xml:space="preserve">, which are outlined below.  </w:t>
      </w:r>
    </w:p>
    <w:p w14:paraId="45E3A78E" w14:textId="77777777" w:rsidR="00B11F5B" w:rsidRPr="00B46FB1" w:rsidRDefault="00B11F5B" w:rsidP="002F5EC4">
      <w:pPr>
        <w:spacing w:after="0"/>
        <w:rPr>
          <w:rFonts w:ascii="Times New Roman" w:hAnsi="Times New Roman" w:cs="Times New Roman"/>
          <w:b/>
          <w:bCs/>
        </w:rPr>
      </w:pPr>
      <w:r w:rsidRPr="00B46FB1">
        <w:rPr>
          <w:rFonts w:ascii="Times New Roman" w:hAnsi="Times New Roman" w:cs="Times New Roman"/>
          <w:b/>
          <w:bCs/>
        </w:rPr>
        <w:t xml:space="preserve">The subgroups topics included: </w:t>
      </w:r>
    </w:p>
    <w:p w14:paraId="499FD617" w14:textId="306704C7" w:rsidR="00B11F5B" w:rsidRPr="00B46FB1" w:rsidRDefault="00B11F5B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A.</w:t>
      </w:r>
      <w:r w:rsidRPr="00B46FB1">
        <w:rPr>
          <w:rFonts w:ascii="Times New Roman" w:hAnsi="Times New Roman" w:cs="Times New Roman"/>
        </w:rPr>
        <w:tab/>
      </w:r>
      <w:bookmarkStart w:id="0" w:name="_GoBack"/>
      <w:bookmarkEnd w:id="0"/>
      <w:r w:rsidRPr="00B46FB1">
        <w:rPr>
          <w:rFonts w:ascii="Times New Roman" w:hAnsi="Times New Roman" w:cs="Times New Roman"/>
        </w:rPr>
        <w:t xml:space="preserve">Strengthening existing policy flexibility </w:t>
      </w:r>
    </w:p>
    <w:p w14:paraId="13E51297" w14:textId="77777777" w:rsidR="00B11F5B" w:rsidRPr="00B46FB1" w:rsidRDefault="00B11F5B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B.</w:t>
      </w:r>
      <w:r w:rsidRPr="00B46FB1">
        <w:rPr>
          <w:rFonts w:ascii="Times New Roman" w:hAnsi="Times New Roman" w:cs="Times New Roman"/>
        </w:rPr>
        <w:tab/>
        <w:t>Evaluating progress and impact of state graduation, credit, funding, licensure and accreditation policies</w:t>
      </w:r>
    </w:p>
    <w:p w14:paraId="5606E35A" w14:textId="77777777" w:rsidR="00B11F5B" w:rsidRPr="00B46FB1" w:rsidRDefault="00B11F5B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C.</w:t>
      </w:r>
      <w:r w:rsidRPr="00B46FB1">
        <w:rPr>
          <w:rFonts w:ascii="Times New Roman" w:hAnsi="Times New Roman" w:cs="Times New Roman"/>
        </w:rPr>
        <w:tab/>
        <w:t>Maximizing flexibilities in assessment, accountability and reporting systems</w:t>
      </w:r>
    </w:p>
    <w:p w14:paraId="614CCBE2" w14:textId="77777777" w:rsidR="00B11F5B" w:rsidRPr="00B46FB1" w:rsidRDefault="00B11F5B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D.</w:t>
      </w:r>
      <w:r w:rsidRPr="00B46FB1">
        <w:rPr>
          <w:rFonts w:ascii="Times New Roman" w:hAnsi="Times New Roman" w:cs="Times New Roman"/>
        </w:rPr>
        <w:tab/>
        <w:t>Fostering and supporting local innovation</w:t>
      </w:r>
    </w:p>
    <w:p w14:paraId="5A369549" w14:textId="77777777" w:rsidR="00B11F5B" w:rsidRPr="00B46FB1" w:rsidRDefault="00B11F5B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E.</w:t>
      </w:r>
      <w:r w:rsidRPr="00B46FB1">
        <w:rPr>
          <w:rFonts w:ascii="Times New Roman" w:hAnsi="Times New Roman" w:cs="Times New Roman"/>
        </w:rPr>
        <w:tab/>
        <w:t>Leveraging federal flexibilities and resources</w:t>
      </w:r>
    </w:p>
    <w:p w14:paraId="12B1F2E3" w14:textId="77777777" w:rsidR="00EB317E" w:rsidRPr="00B46FB1" w:rsidRDefault="00EB317E" w:rsidP="00EB317E">
      <w:pPr>
        <w:rPr>
          <w:rFonts w:ascii="Times New Roman" w:hAnsi="Times New Roman" w:cs="Times New Roman"/>
        </w:rPr>
      </w:pPr>
    </w:p>
    <w:p w14:paraId="562EF1BA" w14:textId="634C2824" w:rsidR="002F5EC4" w:rsidRPr="00B46FB1" w:rsidRDefault="00B600E1" w:rsidP="002F5EC4">
      <w:pPr>
        <w:spacing w:after="0"/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 xml:space="preserve">The </w:t>
      </w:r>
      <w:r w:rsidRPr="00B46FB1">
        <w:rPr>
          <w:rFonts w:ascii="Times New Roman" w:hAnsi="Times New Roman" w:cs="Times New Roman"/>
          <w:b/>
          <w:bCs/>
        </w:rPr>
        <w:t xml:space="preserve">final </w:t>
      </w:r>
      <w:r w:rsidR="00EB317E" w:rsidRPr="00B46FB1">
        <w:rPr>
          <w:rFonts w:ascii="Times New Roman" w:hAnsi="Times New Roman" w:cs="Times New Roman"/>
          <w:b/>
          <w:bCs/>
        </w:rPr>
        <w:t>recommendations</w:t>
      </w:r>
      <w:r w:rsidR="00EB317E" w:rsidRPr="00B46FB1">
        <w:rPr>
          <w:rFonts w:ascii="Times New Roman" w:hAnsi="Times New Roman" w:cs="Times New Roman"/>
        </w:rPr>
        <w:t xml:space="preserve"> </w:t>
      </w:r>
      <w:r w:rsidRPr="00B46FB1">
        <w:rPr>
          <w:rFonts w:ascii="Times New Roman" w:hAnsi="Times New Roman" w:cs="Times New Roman"/>
        </w:rPr>
        <w:t xml:space="preserve">from the Task Force </w:t>
      </w:r>
      <w:r w:rsidR="00EB317E" w:rsidRPr="00B46FB1">
        <w:rPr>
          <w:rFonts w:ascii="Times New Roman" w:hAnsi="Times New Roman" w:cs="Times New Roman"/>
        </w:rPr>
        <w:t xml:space="preserve">for </w:t>
      </w:r>
      <w:r w:rsidRPr="00B46FB1">
        <w:rPr>
          <w:rFonts w:ascii="Times New Roman" w:hAnsi="Times New Roman" w:cs="Times New Roman"/>
        </w:rPr>
        <w:t xml:space="preserve">your </w:t>
      </w:r>
      <w:r w:rsidR="00EB317E" w:rsidRPr="00B46FB1">
        <w:rPr>
          <w:rFonts w:ascii="Times New Roman" w:hAnsi="Times New Roman" w:cs="Times New Roman"/>
        </w:rPr>
        <w:t>immediate consideration and rapid response</w:t>
      </w:r>
      <w:r w:rsidRPr="00B46FB1">
        <w:rPr>
          <w:rFonts w:ascii="Times New Roman" w:hAnsi="Times New Roman" w:cs="Times New Roman"/>
        </w:rPr>
        <w:t xml:space="preserve"> are as follows: </w:t>
      </w:r>
    </w:p>
    <w:p w14:paraId="2C5228FE" w14:textId="6DB01EA4" w:rsidR="00EB317E" w:rsidRPr="00B46FB1" w:rsidRDefault="00EB317E" w:rsidP="002F5EC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Provide a </w:t>
      </w:r>
      <w:r w:rsidR="001536CC" w:rsidRPr="00B46FB1">
        <w:rPr>
          <w:sz w:val="22"/>
          <w:szCs w:val="22"/>
        </w:rPr>
        <w:t>h</w:t>
      </w:r>
      <w:r w:rsidRPr="00B46FB1">
        <w:rPr>
          <w:sz w:val="22"/>
          <w:szCs w:val="22"/>
        </w:rPr>
        <w:t>olistic</w:t>
      </w:r>
      <w:r w:rsidR="001536CC" w:rsidRPr="00B46FB1">
        <w:rPr>
          <w:sz w:val="22"/>
          <w:szCs w:val="22"/>
        </w:rPr>
        <w:t xml:space="preserve"> current flexibility c</w:t>
      </w:r>
      <w:r w:rsidRPr="00B46FB1">
        <w:rPr>
          <w:sz w:val="22"/>
          <w:szCs w:val="22"/>
        </w:rPr>
        <w:t xml:space="preserve">ross </w:t>
      </w:r>
      <w:r w:rsidR="001536CC" w:rsidRPr="00B46FB1">
        <w:rPr>
          <w:sz w:val="22"/>
          <w:szCs w:val="22"/>
        </w:rPr>
        <w:t>w</w:t>
      </w:r>
      <w:r w:rsidRPr="00B46FB1">
        <w:rPr>
          <w:sz w:val="22"/>
          <w:szCs w:val="22"/>
        </w:rPr>
        <w:t xml:space="preserve">alk </w:t>
      </w:r>
      <w:r w:rsidR="001536CC" w:rsidRPr="00B46FB1">
        <w:rPr>
          <w:sz w:val="22"/>
          <w:szCs w:val="22"/>
        </w:rPr>
        <w:t>g</w:t>
      </w:r>
      <w:r w:rsidRPr="00B46FB1">
        <w:rPr>
          <w:sz w:val="22"/>
          <w:szCs w:val="22"/>
        </w:rPr>
        <w:t xml:space="preserve">uidance </w:t>
      </w:r>
      <w:r w:rsidR="001536CC" w:rsidRPr="00B46FB1">
        <w:rPr>
          <w:sz w:val="22"/>
          <w:szCs w:val="22"/>
        </w:rPr>
        <w:t>d</w:t>
      </w:r>
      <w:r w:rsidRPr="00B46FB1">
        <w:rPr>
          <w:sz w:val="22"/>
          <w:szCs w:val="22"/>
        </w:rPr>
        <w:t>ocument</w:t>
      </w:r>
      <w:r w:rsidR="00012129" w:rsidRPr="00B46FB1">
        <w:rPr>
          <w:sz w:val="22"/>
          <w:szCs w:val="22"/>
        </w:rPr>
        <w:t>.</w:t>
      </w:r>
    </w:p>
    <w:p w14:paraId="78838D19" w14:textId="02AACE11" w:rsidR="00012129" w:rsidRPr="00B46FB1" w:rsidRDefault="00012129" w:rsidP="0001212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Produce a one-page summary of the flexibilities available in licensure.</w:t>
      </w:r>
    </w:p>
    <w:p w14:paraId="66FB6346" w14:textId="326728A7" w:rsidR="00EB317E" w:rsidRPr="00B46FB1" w:rsidRDefault="002F5EC4" w:rsidP="00EB31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Lead efforts to e</w:t>
      </w:r>
      <w:r w:rsidR="00EB317E" w:rsidRPr="00B46FB1">
        <w:rPr>
          <w:sz w:val="22"/>
          <w:szCs w:val="22"/>
        </w:rPr>
        <w:t xml:space="preserve">liminate </w:t>
      </w:r>
      <w:r w:rsidRPr="00B46FB1">
        <w:rPr>
          <w:sz w:val="22"/>
          <w:szCs w:val="22"/>
        </w:rPr>
        <w:t>a</w:t>
      </w:r>
      <w:r w:rsidR="00EB317E" w:rsidRPr="00B46FB1">
        <w:rPr>
          <w:sz w:val="22"/>
          <w:szCs w:val="22"/>
        </w:rPr>
        <w:t xml:space="preserve">ggregate </w:t>
      </w:r>
      <w:r w:rsidRPr="00B46FB1">
        <w:rPr>
          <w:sz w:val="22"/>
          <w:szCs w:val="22"/>
        </w:rPr>
        <w:t>h</w:t>
      </w:r>
      <w:r w:rsidR="00EB317E" w:rsidRPr="00B46FB1">
        <w:rPr>
          <w:sz w:val="22"/>
          <w:szCs w:val="22"/>
        </w:rPr>
        <w:t>ours</w:t>
      </w:r>
      <w:r w:rsidRPr="00B46FB1">
        <w:rPr>
          <w:sz w:val="22"/>
          <w:szCs w:val="22"/>
        </w:rPr>
        <w:t>.</w:t>
      </w:r>
    </w:p>
    <w:p w14:paraId="483F9050" w14:textId="2CA6C684" w:rsidR="00EB317E" w:rsidRPr="00B46FB1" w:rsidRDefault="00012129" w:rsidP="00EB31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Request the</w:t>
      </w:r>
      <w:r w:rsidR="001536CC" w:rsidRPr="00B46FB1">
        <w:rPr>
          <w:sz w:val="22"/>
          <w:szCs w:val="22"/>
        </w:rPr>
        <w:t xml:space="preserve"> development of f</w:t>
      </w:r>
      <w:r w:rsidR="00EB317E" w:rsidRPr="00B46FB1">
        <w:rPr>
          <w:sz w:val="22"/>
          <w:szCs w:val="22"/>
        </w:rPr>
        <w:t xml:space="preserve">lexibility within the accreditation variances of standards and review board process.   </w:t>
      </w:r>
    </w:p>
    <w:p w14:paraId="0A27BE04" w14:textId="3C4E1F11" w:rsidR="00EB317E" w:rsidRPr="00B46FB1" w:rsidRDefault="00012129" w:rsidP="001536C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Develop guidance to a</w:t>
      </w:r>
      <w:r w:rsidR="00EB317E" w:rsidRPr="00B46FB1">
        <w:rPr>
          <w:sz w:val="22"/>
          <w:szCs w:val="22"/>
        </w:rPr>
        <w:t>ccommodat</w:t>
      </w:r>
      <w:r w:rsidRPr="00B46FB1">
        <w:rPr>
          <w:sz w:val="22"/>
          <w:szCs w:val="22"/>
        </w:rPr>
        <w:t>e</w:t>
      </w:r>
      <w:r w:rsidR="00EB317E" w:rsidRPr="00B46FB1">
        <w:rPr>
          <w:sz w:val="22"/>
          <w:szCs w:val="22"/>
        </w:rPr>
        <w:t xml:space="preserve"> teachers in </w:t>
      </w:r>
      <w:r w:rsidRPr="00B46FB1">
        <w:rPr>
          <w:sz w:val="22"/>
          <w:szCs w:val="22"/>
        </w:rPr>
        <w:t xml:space="preserve">a </w:t>
      </w:r>
      <w:r w:rsidR="00EB317E" w:rsidRPr="00B46FB1">
        <w:rPr>
          <w:sz w:val="22"/>
          <w:szCs w:val="22"/>
        </w:rPr>
        <w:t>high-risk health category</w:t>
      </w:r>
      <w:r w:rsidRPr="00B46FB1">
        <w:rPr>
          <w:sz w:val="22"/>
          <w:szCs w:val="22"/>
        </w:rPr>
        <w:t xml:space="preserve"> with regards to in-person, blended, and remote learning models. </w:t>
      </w:r>
    </w:p>
    <w:p w14:paraId="78A51EB4" w14:textId="1CFDDF1C" w:rsidR="00EB317E" w:rsidRPr="00B46FB1" w:rsidRDefault="00012129" w:rsidP="0001212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Leverage policy and funding to g</w:t>
      </w:r>
      <w:r w:rsidR="00EB317E" w:rsidRPr="00B46FB1">
        <w:rPr>
          <w:sz w:val="22"/>
          <w:szCs w:val="22"/>
        </w:rPr>
        <w:t>et technology to students</w:t>
      </w:r>
      <w:r w:rsidR="00400BD0" w:rsidRPr="00B46FB1">
        <w:rPr>
          <w:sz w:val="22"/>
          <w:szCs w:val="22"/>
        </w:rPr>
        <w:t>.</w:t>
      </w:r>
    </w:p>
    <w:p w14:paraId="540E46F1" w14:textId="1D84E711" w:rsidR="00400BD0" w:rsidRPr="00B46FB1" w:rsidRDefault="00400BD0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Pursue an enhanced partnership with MT Digital Academy to support remote learning. </w:t>
      </w:r>
    </w:p>
    <w:p w14:paraId="57CE7BC3" w14:textId="77777777" w:rsidR="00400BD0" w:rsidRPr="00B46FB1" w:rsidRDefault="00400BD0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Expand the Transformational Learning Bill for remote and blended learning models.  </w:t>
      </w:r>
    </w:p>
    <w:p w14:paraId="276EC833" w14:textId="77777777" w:rsidR="00400BD0" w:rsidRPr="00B46FB1" w:rsidRDefault="00400BD0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Support legislative considerations or a waiver process that empowers Districts to design their own Innovative paradigm/model that fits their community needs; bundles local, state, and federal flexibilities; and provides time for school communities to plan, implement and evaluate the new paradigm.  </w:t>
      </w:r>
    </w:p>
    <w:p w14:paraId="0EA129D5" w14:textId="6ECFFA9E" w:rsidR="00400BD0" w:rsidRPr="00B46FB1" w:rsidRDefault="00400BD0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Leverage federal telecommunications funding and assistance programs, like E-Rate, to get devices and internet access for students.  </w:t>
      </w:r>
    </w:p>
    <w:p w14:paraId="4B460758" w14:textId="1E1C2CC8" w:rsidR="00400BD0" w:rsidRPr="00B46FB1" w:rsidRDefault="00012129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Develop and seek f</w:t>
      </w:r>
      <w:r w:rsidR="00EB317E" w:rsidRPr="00B46FB1">
        <w:rPr>
          <w:sz w:val="22"/>
          <w:szCs w:val="22"/>
        </w:rPr>
        <w:t xml:space="preserve">ederal </w:t>
      </w:r>
      <w:r w:rsidRPr="00B46FB1">
        <w:rPr>
          <w:sz w:val="22"/>
          <w:szCs w:val="22"/>
        </w:rPr>
        <w:t>w</w:t>
      </w:r>
      <w:r w:rsidR="00EB317E" w:rsidRPr="00B46FB1">
        <w:rPr>
          <w:sz w:val="22"/>
          <w:szCs w:val="22"/>
        </w:rPr>
        <w:t>aiver</w:t>
      </w:r>
      <w:r w:rsidR="00400BD0" w:rsidRPr="00B46FB1">
        <w:rPr>
          <w:sz w:val="22"/>
          <w:szCs w:val="22"/>
        </w:rPr>
        <w:t>s</w:t>
      </w:r>
      <w:r w:rsidR="00EB317E" w:rsidRPr="00B46FB1">
        <w:rPr>
          <w:sz w:val="22"/>
          <w:szCs w:val="22"/>
        </w:rPr>
        <w:t xml:space="preserve"> for</w:t>
      </w:r>
      <w:r w:rsidR="00400BD0" w:rsidRPr="00B46FB1">
        <w:rPr>
          <w:sz w:val="22"/>
          <w:szCs w:val="22"/>
        </w:rPr>
        <w:t xml:space="preserve">: </w:t>
      </w:r>
    </w:p>
    <w:p w14:paraId="001E1450" w14:textId="08A0F2D1" w:rsidR="00400BD0" w:rsidRPr="00B46FB1" w:rsidRDefault="00400BD0" w:rsidP="00400BD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S</w:t>
      </w:r>
      <w:r w:rsidR="00EB317E" w:rsidRPr="00B46FB1">
        <w:rPr>
          <w:sz w:val="22"/>
          <w:szCs w:val="22"/>
        </w:rPr>
        <w:t xml:space="preserve">tandardized </w:t>
      </w:r>
      <w:r w:rsidRPr="00B46FB1">
        <w:rPr>
          <w:sz w:val="22"/>
          <w:szCs w:val="22"/>
        </w:rPr>
        <w:t xml:space="preserve">assessment requirements for 2020-2021 </w:t>
      </w:r>
      <w:r w:rsidR="00B600E1" w:rsidRPr="00B46FB1">
        <w:rPr>
          <w:sz w:val="22"/>
          <w:szCs w:val="22"/>
        </w:rPr>
        <w:t>schoolyear</w:t>
      </w:r>
      <w:r w:rsidR="002F5EC4" w:rsidRPr="00B46FB1">
        <w:rPr>
          <w:sz w:val="22"/>
          <w:szCs w:val="22"/>
        </w:rPr>
        <w:t>;</w:t>
      </w:r>
    </w:p>
    <w:p w14:paraId="512B2A77" w14:textId="3DF458D7" w:rsidR="00400BD0" w:rsidRPr="00B46FB1" w:rsidRDefault="00400BD0" w:rsidP="00400BD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R</w:t>
      </w:r>
      <w:r w:rsidR="00EB317E" w:rsidRPr="00B46FB1">
        <w:rPr>
          <w:sz w:val="22"/>
          <w:szCs w:val="22"/>
        </w:rPr>
        <w:t>eport</w:t>
      </w:r>
      <w:r w:rsidR="00012129" w:rsidRPr="00B46FB1">
        <w:rPr>
          <w:sz w:val="22"/>
          <w:szCs w:val="22"/>
        </w:rPr>
        <w:t xml:space="preserve"> card </w:t>
      </w:r>
      <w:r w:rsidRPr="00B46FB1">
        <w:rPr>
          <w:sz w:val="22"/>
          <w:szCs w:val="22"/>
        </w:rPr>
        <w:t>provisions</w:t>
      </w:r>
      <w:r w:rsidR="002F5EC4" w:rsidRPr="00B46FB1">
        <w:rPr>
          <w:sz w:val="22"/>
          <w:szCs w:val="22"/>
        </w:rPr>
        <w:t>;</w:t>
      </w:r>
    </w:p>
    <w:p w14:paraId="7F551793" w14:textId="5C911E77" w:rsidR="00400BD0" w:rsidRPr="00B46FB1" w:rsidRDefault="00400BD0" w:rsidP="00400BD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Funding flexibility for Title I, Part A to address eligibility and carry-over</w:t>
      </w:r>
      <w:r w:rsidR="002F5EC4" w:rsidRPr="00B46FB1">
        <w:rPr>
          <w:sz w:val="22"/>
          <w:szCs w:val="22"/>
        </w:rPr>
        <w:t xml:space="preserve">; and </w:t>
      </w:r>
    </w:p>
    <w:p w14:paraId="5F999D4E" w14:textId="202DF279" w:rsidR="00400BD0" w:rsidRPr="00B46FB1" w:rsidRDefault="00400BD0" w:rsidP="00400BD0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Funding Flexibility for Nutrition. </w:t>
      </w:r>
    </w:p>
    <w:p w14:paraId="057F26B3" w14:textId="4441A9EF" w:rsidR="001536CC" w:rsidRPr="00B46FB1" w:rsidRDefault="002F5EC4" w:rsidP="00400BD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Develop and p</w:t>
      </w:r>
      <w:r w:rsidR="00400BD0" w:rsidRPr="00B46FB1">
        <w:rPr>
          <w:sz w:val="22"/>
          <w:szCs w:val="22"/>
        </w:rPr>
        <w:t xml:space="preserve">ursue an addendum to the Montana Consolidated State Plan under Every Students Succeeds Act (ESSA) </w:t>
      </w:r>
      <w:r w:rsidR="001536CC" w:rsidRPr="00B46FB1">
        <w:rPr>
          <w:sz w:val="22"/>
          <w:szCs w:val="22"/>
        </w:rPr>
        <w:t>to use local assessments to measure and report student academic growth</w:t>
      </w:r>
      <w:r w:rsidRPr="00B46FB1">
        <w:rPr>
          <w:sz w:val="22"/>
          <w:szCs w:val="22"/>
        </w:rPr>
        <w:t xml:space="preserve"> </w:t>
      </w:r>
      <w:r w:rsidR="00012129" w:rsidRPr="00B46FB1">
        <w:rPr>
          <w:sz w:val="22"/>
          <w:szCs w:val="22"/>
        </w:rPr>
        <w:t>rather than Federal Mandated/State Mandated Testing</w:t>
      </w:r>
      <w:r w:rsidRPr="00B46FB1">
        <w:rPr>
          <w:sz w:val="22"/>
          <w:szCs w:val="22"/>
        </w:rPr>
        <w:t>.</w:t>
      </w:r>
    </w:p>
    <w:p w14:paraId="5FE7C9B6" w14:textId="377C173F" w:rsidR="002F5EC4" w:rsidRPr="00B46FB1" w:rsidRDefault="002F5EC4" w:rsidP="001536C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>Draft and seek</w:t>
      </w:r>
      <w:r w:rsidR="001536CC" w:rsidRPr="00B46FB1">
        <w:rPr>
          <w:sz w:val="22"/>
          <w:szCs w:val="22"/>
        </w:rPr>
        <w:t xml:space="preserve"> </w:t>
      </w:r>
      <w:r w:rsidRPr="00B46FB1">
        <w:rPr>
          <w:sz w:val="22"/>
          <w:szCs w:val="22"/>
        </w:rPr>
        <w:t>a</w:t>
      </w:r>
      <w:r w:rsidR="001536CC" w:rsidRPr="00B46FB1">
        <w:rPr>
          <w:sz w:val="22"/>
          <w:szCs w:val="22"/>
        </w:rPr>
        <w:t>mendment</w:t>
      </w:r>
      <w:r w:rsidRPr="00B46FB1">
        <w:rPr>
          <w:sz w:val="22"/>
          <w:szCs w:val="22"/>
        </w:rPr>
        <w:t>s to the Montana Consolidated State Plan under ESSA</w:t>
      </w:r>
      <w:r w:rsidR="001536CC" w:rsidRPr="00B46FB1">
        <w:rPr>
          <w:sz w:val="22"/>
          <w:szCs w:val="22"/>
        </w:rPr>
        <w:t xml:space="preserve"> for</w:t>
      </w:r>
      <w:r w:rsidRPr="00B46FB1">
        <w:rPr>
          <w:sz w:val="22"/>
          <w:szCs w:val="22"/>
        </w:rPr>
        <w:t>:</w:t>
      </w:r>
    </w:p>
    <w:p w14:paraId="5CF762F4" w14:textId="059DD060" w:rsidR="002F5EC4" w:rsidRPr="00B46FB1" w:rsidRDefault="002F5EC4" w:rsidP="002F5EC4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lastRenderedPageBreak/>
        <w:t>E</w:t>
      </w:r>
      <w:r w:rsidR="001536CC" w:rsidRPr="00B46FB1">
        <w:rPr>
          <w:sz w:val="22"/>
          <w:szCs w:val="22"/>
        </w:rPr>
        <w:t>ntrance and exit criteria for CSI/TSI/ATSI schools that address the disruption to the system and holds schools harmless, while providing time for the stakeholders to restore and improve the accountability system for 2020-2021 and beyond</w:t>
      </w:r>
      <w:r w:rsidRPr="00B46FB1">
        <w:rPr>
          <w:sz w:val="22"/>
          <w:szCs w:val="22"/>
        </w:rPr>
        <w:t xml:space="preserve">; and </w:t>
      </w:r>
    </w:p>
    <w:p w14:paraId="5708DB01" w14:textId="4F74D398" w:rsidR="001536CC" w:rsidRPr="00B46FB1" w:rsidRDefault="002F5EC4" w:rsidP="002F5EC4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B46FB1">
        <w:rPr>
          <w:sz w:val="22"/>
          <w:szCs w:val="22"/>
        </w:rPr>
        <w:t xml:space="preserve">The accountability system fifth </w:t>
      </w:r>
      <w:r w:rsidR="001536CC" w:rsidRPr="00B46FB1">
        <w:rPr>
          <w:sz w:val="22"/>
          <w:szCs w:val="22"/>
        </w:rPr>
        <w:t xml:space="preserve">State Flex Indicator to eliminate attendance factors.  </w:t>
      </w:r>
    </w:p>
    <w:p w14:paraId="5F190659" w14:textId="1F09FCD9" w:rsidR="001536CC" w:rsidRPr="00B46FB1" w:rsidRDefault="001536CC">
      <w:pPr>
        <w:rPr>
          <w:rFonts w:ascii="Times New Roman" w:hAnsi="Times New Roman" w:cs="Times New Roman"/>
        </w:rPr>
      </w:pPr>
    </w:p>
    <w:p w14:paraId="44FDA144" w14:textId="2AD8FD4E" w:rsidR="00B600E1" w:rsidRPr="00B46FB1" w:rsidRDefault="00B600E1">
      <w:pPr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Thank you for this opportunity to develop recommendations for existing and potential new flexibilities the OPI</w:t>
      </w:r>
      <w:r w:rsidR="002B47CF" w:rsidRPr="00B46FB1">
        <w:rPr>
          <w:rFonts w:ascii="Times New Roman" w:hAnsi="Times New Roman" w:cs="Times New Roman"/>
        </w:rPr>
        <w:t xml:space="preserve"> </w:t>
      </w:r>
      <w:r w:rsidRPr="00B46FB1">
        <w:rPr>
          <w:rFonts w:ascii="Times New Roman" w:hAnsi="Times New Roman" w:cs="Times New Roman"/>
        </w:rPr>
        <w:t>and schools will need to serve students in this new environment.  We look forward to ongoing collaboration with you and the staff at the</w:t>
      </w:r>
      <w:r w:rsidR="002B47CF" w:rsidRPr="00B46FB1">
        <w:rPr>
          <w:rFonts w:ascii="Times New Roman" w:hAnsi="Times New Roman" w:cs="Times New Roman"/>
        </w:rPr>
        <w:t xml:space="preserve"> OPI</w:t>
      </w:r>
      <w:r w:rsidRPr="00B46FB1">
        <w:rPr>
          <w:rFonts w:ascii="Times New Roman" w:hAnsi="Times New Roman" w:cs="Times New Roman"/>
        </w:rPr>
        <w:t xml:space="preserve">.  </w:t>
      </w:r>
    </w:p>
    <w:p w14:paraId="33DC0C5D" w14:textId="77777777" w:rsidR="00B600E1" w:rsidRPr="00B46FB1" w:rsidRDefault="00B600E1">
      <w:pPr>
        <w:rPr>
          <w:rFonts w:ascii="Times New Roman" w:hAnsi="Times New Roman" w:cs="Times New Roman"/>
        </w:rPr>
      </w:pPr>
    </w:p>
    <w:p w14:paraId="5D35C6A1" w14:textId="5C04812A" w:rsidR="00B600E1" w:rsidRPr="00B46FB1" w:rsidRDefault="00B600E1">
      <w:pPr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 xml:space="preserve">In Partnership, </w:t>
      </w:r>
    </w:p>
    <w:p w14:paraId="3123A181" w14:textId="347D8E49" w:rsidR="00B600E1" w:rsidRPr="00B46FB1" w:rsidRDefault="00B600E1">
      <w:pPr>
        <w:rPr>
          <w:rFonts w:ascii="Times New Roman" w:hAnsi="Times New Roman" w:cs="Times New Roman"/>
        </w:rPr>
      </w:pPr>
      <w:r w:rsidRPr="00B46FB1">
        <w:rPr>
          <w:rFonts w:ascii="Times New Roman" w:hAnsi="Times New Roman" w:cs="Times New Roman"/>
        </w:rPr>
        <w:t>The Montana FLEX2020 Task Force Members</w:t>
      </w:r>
    </w:p>
    <w:sectPr w:rsidR="00B600E1" w:rsidRPr="00B46FB1" w:rsidSect="001757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6144"/>
    <w:multiLevelType w:val="hybridMultilevel"/>
    <w:tmpl w:val="6728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2985"/>
    <w:multiLevelType w:val="hybridMultilevel"/>
    <w:tmpl w:val="1F12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0D8A"/>
    <w:multiLevelType w:val="hybridMultilevel"/>
    <w:tmpl w:val="12442E92"/>
    <w:lvl w:ilvl="0" w:tplc="0122C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28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F05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A3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43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45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900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EFE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2C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C47BEA"/>
    <w:multiLevelType w:val="hybridMultilevel"/>
    <w:tmpl w:val="14AE9F2E"/>
    <w:lvl w:ilvl="0" w:tplc="3EC4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E4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645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25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20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4E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A0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29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4ED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287E61"/>
    <w:multiLevelType w:val="hybridMultilevel"/>
    <w:tmpl w:val="49968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556AB"/>
    <w:multiLevelType w:val="hybridMultilevel"/>
    <w:tmpl w:val="2DC64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D2E7E"/>
    <w:multiLevelType w:val="hybridMultilevel"/>
    <w:tmpl w:val="C99E5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2E96"/>
    <w:multiLevelType w:val="hybridMultilevel"/>
    <w:tmpl w:val="1582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C0"/>
    <w:rsid w:val="00012129"/>
    <w:rsid w:val="000E1801"/>
    <w:rsid w:val="001536CC"/>
    <w:rsid w:val="001757C0"/>
    <w:rsid w:val="00232BC4"/>
    <w:rsid w:val="002B47CF"/>
    <w:rsid w:val="002F5EC4"/>
    <w:rsid w:val="00400BD0"/>
    <w:rsid w:val="00593CE4"/>
    <w:rsid w:val="00B11F5B"/>
    <w:rsid w:val="00B46FB1"/>
    <w:rsid w:val="00B600E1"/>
    <w:rsid w:val="00D744C3"/>
    <w:rsid w:val="00E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211C"/>
  <w15:chartTrackingRefBased/>
  <w15:docId w15:val="{8FD55A77-2D07-4305-A24F-1A14A5C4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57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7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72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2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13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Murgel, Julie</dc:creator>
  <cp:keywords/>
  <dc:description/>
  <cp:lastModifiedBy>Murgel, Julie</cp:lastModifiedBy>
  <cp:revision>2</cp:revision>
  <dcterms:created xsi:type="dcterms:W3CDTF">2020-06-17T22:29:00Z</dcterms:created>
  <dcterms:modified xsi:type="dcterms:W3CDTF">2020-06-17T22:29:00Z</dcterms:modified>
</cp:coreProperties>
</file>